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center"/>
        <w:rPr>
          <w:rFonts w:hint="eastAsia" w:ascii="微软雅黑" w:hAnsi="微软雅黑" w:eastAsia="微软雅黑" w:cs="微软雅黑"/>
          <w:i w:val="0"/>
          <w:caps w:val="0"/>
          <w:color w:val="333333"/>
          <w:spacing w:val="0"/>
          <w:sz w:val="27"/>
          <w:szCs w:val="27"/>
        </w:rPr>
      </w:pPr>
      <w:bookmarkStart w:id="0" w:name="_GoBack"/>
      <w:r>
        <w:rPr>
          <w:rFonts w:hint="eastAsia" w:ascii="微软雅黑" w:hAnsi="微软雅黑" w:eastAsia="微软雅黑" w:cs="微软雅黑"/>
          <w:i w:val="0"/>
          <w:caps w:val="0"/>
          <w:color w:val="333333"/>
          <w:spacing w:val="0"/>
          <w:sz w:val="27"/>
          <w:szCs w:val="27"/>
          <w:shd w:val="clear" w:fill="FFFFFF"/>
        </w:rPr>
        <w:t>《促进科技成果转移转化若干措施（征求意见稿）》起草说明</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center"/>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省科技厅起草了《促进科技成果转移转化若干措施（征求意见稿）》（以下简称《若干措施（征求意见稿）》），现说明如下：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一、起草的背景及必要性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我省支持和促进科技成果转化主要规范性文件是2019年10月13日发布的《云南省人民政府办公厅关于财政支持和促进科技成果转化的实施意见》（云政办发〔2019〕86号，简称“86号文”）。通过2019-2021年贯彻落实“86号文”项目征集的情况来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随着形势的变化，该文件已远远不能满足我省促进科技成果转移转化的需求。为全面贯彻党的二十大精神，以习近平总书记考察云南重要讲话和关于科技创新重要论述精神为指引，锚定“3815”战略发展目标和全省中心工作，进一步深化科技体制机制改革，破除制约我省科技成果转化的障碍和藩篱，以科技创新引领现代化产业全面发展，培育创新发展新动能，有力推动全省科技成果转化和产业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二、起草依据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该文件依据《中华人民共和国促进科技成果转化法》、《中华人民共和国科学技术进步法》、国务院关于印发实施《中华人民共和国促进科技成果转化法》若干规定的通知（国发〔2016〕16号）、中共中央办公厅 国务院办公厅印发《关于实行以增加知识价值为导向分配政策的若干意见》（厅字〔2016〕35号）、科技部等9部门印发《赋予科研人员职务科技成果所有权或长期使用权试点实施方案》的通知（国科发区〔2020〕128号）、《人力资源社会保障部 财政部 科技部关于事业单位科研人员职务科技成果转化现金奖励纳入绩效工作管理有关问题的通知》（人社部发〔2021〕14号）、《云南省促进科技成果转化条例》、中共云南省委办公厅 云南省人民政府办公厅关于印发《创新驱动高质量发展29条措施》的通知（云办发〔2021〕36号），制定。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三、主要内容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《若干措施（征求意见稿）》共五个部分19条，主要内容是：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第一部分推进重大体制机制改革，激发科技成果转化活力，共4条。一是开展职务科技成果赋权改革。二是创新职务科技成果国有资产管理方式。如职务科技成果作价入股形成的国有股权减值不纳入国有资产保值增值范围。三是开展“先使用后付费”改革。四是建立职务科技成果限时转化机制。如对财政资金设立的科研项目所形成的科技成果，对取得知识产权之日起满5年且无正当理由未实施转化的科技成果，纳入“先用后转”实施清单，通过公开挂牌等方式有偿实施或者无偿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第二部分强化成果转化政策激励，提升科技成果供给及承接能力，共4条。一是完善科技成果转化收入分配政策。二是支持企业与高校院所共同开展协同创新及科技成果转化。三是支持科技成果在滇转化落地。四是激励企业自主转化科技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第三部分完善科技成果转化服务体系，营造良好转化生态，共5条。一是加强高校和科研院所科技成果转移转化服务能力建设。按照“五有”标准，在有条件的高校和科研院所建设科技成果转移转化的有效机制与模式，建立职务科技成果披露与管理制度。二是探索建设科技成果转化概念验证中心和中试平台。三是建设全省科技成果转化服务综合聚集区及服务基地。四是建立服务机构激励机制。五是加强技术经纪人培训，打通职务晋升通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第四部分加快金融赋能成果转化，推动科技金融双向奔赴，共3条。一是引导银行等金融机构支持科技成果转化。二是健全完善投资风险补助（补偿）及科技保险保费补助机制。三是推广科技创新券助力科技成果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第五部分是保障措施，共3条。从完善尽职免责机制、营造良好成果转化环境、强化部门协同及绩效管理提出要求。</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F04616"/>
    <w:rsid w:val="2EF046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云南省科学技术厅</Company>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2024-08-22T07:32:00Z</dcterms:created>
  <dc:creator>vivi</dc:creator>
  <cp:lastModifiedBy>vivi</cp:lastModifiedBy>
  <dcterms:modified xsi:type="dcterms:W3CDTF">2024-08-22T07:34:30Z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