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djustRightInd w:val="0"/>
        <w:snapToGrid w:val="0"/>
        <w:spacing w:line="580" w:lineRule="atLeast"/>
        <w:rPr>
          <w:rFonts w:hint="eastAsia" w:ascii="Times New Roman" w:hAnsi="Times New Roman" w:eastAsia="方正黑体_GBK"/>
          <w:sz w:val="32"/>
          <w:szCs w:val="32"/>
        </w:rPr>
      </w:pPr>
      <w:r>
        <w:rPr>
          <w:rFonts w:ascii="Times New Roman" w:hAnsi="Times New Roman" w:eastAsia="方正黑体_GBK"/>
          <w:sz w:val="32"/>
          <w:szCs w:val="32"/>
        </w:rPr>
        <w:t>附件5</w:t>
      </w:r>
      <w:bookmarkStart w:id="0" w:name="_GoBack"/>
      <w:bookmarkEnd w:id="0"/>
    </w:p>
    <w:p>
      <w:pPr>
        <w:overflowPunct w:val="0"/>
        <w:adjustRightInd w:val="0"/>
        <w:snapToGrid w:val="0"/>
        <w:spacing w:line="580" w:lineRule="atLeast"/>
        <w:rPr>
          <w:rFonts w:hint="eastAsia" w:ascii="Times New Roman" w:hAnsi="Times New Roman" w:eastAsia="方正黑体_GBK"/>
          <w:sz w:val="32"/>
          <w:szCs w:val="32"/>
        </w:rPr>
      </w:pPr>
    </w:p>
    <w:p>
      <w:pPr>
        <w:overflowPunct w:val="0"/>
        <w:adjustRightInd w:val="0"/>
        <w:snapToGrid w:val="0"/>
        <w:spacing w:line="580" w:lineRule="atLeast"/>
        <w:jc w:val="center"/>
        <w:rPr>
          <w:rFonts w:hint="eastAsia" w:ascii="方正小标宋_GBK" w:eastAsia="方正小标宋_GBK"/>
          <w:sz w:val="44"/>
          <w:szCs w:val="44"/>
        </w:rPr>
      </w:pPr>
      <w:r>
        <w:rPr>
          <w:rFonts w:hint="eastAsia" w:ascii="方正小标宋_GBK" w:eastAsia="方正小标宋_GBK"/>
          <w:sz w:val="44"/>
          <w:szCs w:val="44"/>
        </w:rPr>
        <w:t>云南省临床医学研究中心绩效考核</w:t>
      </w:r>
    </w:p>
    <w:p>
      <w:pPr>
        <w:overflowPunct w:val="0"/>
        <w:adjustRightInd w:val="0"/>
        <w:snapToGrid w:val="0"/>
        <w:spacing w:line="580" w:lineRule="atLeast"/>
        <w:jc w:val="center"/>
        <w:rPr>
          <w:rFonts w:hint="eastAsia" w:ascii="方正小标宋_GBK" w:eastAsia="方正小标宋_GBK"/>
          <w:sz w:val="44"/>
          <w:szCs w:val="44"/>
        </w:rPr>
      </w:pPr>
      <w:r>
        <w:rPr>
          <w:rFonts w:hint="eastAsia" w:ascii="方正小标宋_GBK" w:eastAsia="方正小标宋_GBK"/>
          <w:sz w:val="44"/>
          <w:szCs w:val="44"/>
        </w:rPr>
        <w:t>指标体系说明</w:t>
      </w:r>
    </w:p>
    <w:p>
      <w:pPr>
        <w:overflowPunct w:val="0"/>
        <w:adjustRightInd w:val="0"/>
        <w:snapToGrid w:val="0"/>
        <w:spacing w:line="240" w:lineRule="atLeast"/>
        <w:ind w:firstLine="420" w:firstLineChars="200"/>
        <w:rPr>
          <w:rFonts w:hint="eastAsia" w:ascii="方正仿宋_GBK" w:eastAsia="方正仿宋_GBK"/>
          <w:sz w:val="21"/>
          <w:szCs w:val="21"/>
        </w:rPr>
      </w:pP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云南省临床医学研究中心（以下简称临床中心）绩效评估指标体系基础分满分</w:t>
      </w:r>
      <w:r>
        <w:rPr>
          <w:rFonts w:hint="eastAsia" w:ascii="Times New Roman" w:hAnsi="Times New Roman" w:eastAsia="方正仿宋_GBK"/>
          <w:sz w:val="32"/>
          <w:szCs w:val="32"/>
        </w:rPr>
        <w:t>100</w:t>
      </w:r>
      <w:r>
        <w:rPr>
          <w:rFonts w:hint="eastAsia" w:ascii="方正仿宋_GBK" w:eastAsia="方正仿宋_GBK"/>
          <w:sz w:val="32"/>
          <w:szCs w:val="32"/>
        </w:rPr>
        <w:t>分，附加分满分</w:t>
      </w:r>
      <w:r>
        <w:rPr>
          <w:rFonts w:hint="eastAsia" w:ascii="Times New Roman" w:hAnsi="Times New Roman" w:eastAsia="方正仿宋_GBK"/>
          <w:sz w:val="32"/>
          <w:szCs w:val="32"/>
        </w:rPr>
        <w:t>10</w:t>
      </w:r>
      <w:r>
        <w:rPr>
          <w:rFonts w:hint="eastAsia" w:ascii="方正仿宋_GBK" w:eastAsia="方正仿宋_GBK"/>
          <w:sz w:val="32"/>
          <w:szCs w:val="32"/>
        </w:rPr>
        <w:t>分。基础分设置“建设水平”“科研产出”“公共服务”三个一级指标，下设</w:t>
      </w:r>
      <w:r>
        <w:rPr>
          <w:rFonts w:hint="eastAsia" w:ascii="Times New Roman" w:hAnsi="Times New Roman" w:eastAsia="方正仿宋_GBK"/>
          <w:sz w:val="32"/>
          <w:szCs w:val="32"/>
        </w:rPr>
        <w:t>6</w:t>
      </w:r>
      <w:r>
        <w:rPr>
          <w:rFonts w:hint="eastAsia" w:ascii="方正仿宋_GBK" w:eastAsia="方正仿宋_GBK"/>
          <w:sz w:val="32"/>
          <w:szCs w:val="32"/>
        </w:rPr>
        <w:t>个二级指标、</w:t>
      </w:r>
      <w:r>
        <w:rPr>
          <w:rFonts w:hint="eastAsia" w:ascii="Times New Roman" w:hAnsi="Times New Roman" w:eastAsia="方正仿宋_GBK"/>
          <w:sz w:val="32"/>
          <w:szCs w:val="32"/>
        </w:rPr>
        <w:t>15</w:t>
      </w:r>
      <w:r>
        <w:rPr>
          <w:rFonts w:hint="eastAsia" w:ascii="方正仿宋_GBK" w:eastAsia="方正仿宋_GBK"/>
          <w:sz w:val="32"/>
          <w:szCs w:val="32"/>
        </w:rPr>
        <w:t>个三级指标；加分指标设置“社会影响”和“工作评价”</w:t>
      </w:r>
      <w:r>
        <w:rPr>
          <w:rFonts w:hint="eastAsia" w:ascii="Times New Roman" w:hAnsi="Times New Roman" w:eastAsia="方正仿宋_GBK"/>
          <w:sz w:val="32"/>
          <w:szCs w:val="32"/>
        </w:rPr>
        <w:t>2</w:t>
      </w:r>
      <w:r>
        <w:rPr>
          <w:rFonts w:hint="eastAsia" w:ascii="方正仿宋_GBK" w:eastAsia="方正仿宋_GBK"/>
          <w:sz w:val="32"/>
          <w:szCs w:val="32"/>
        </w:rPr>
        <w:t xml:space="preserve">个二级指标。 </w:t>
      </w:r>
    </w:p>
    <w:p>
      <w:pPr>
        <w:overflowPunct w:val="0"/>
        <w:adjustRightInd w:val="0"/>
        <w:snapToGrid w:val="0"/>
        <w:spacing w:line="580" w:lineRule="atLeast"/>
        <w:ind w:firstLine="640" w:firstLineChars="200"/>
        <w:rPr>
          <w:rFonts w:hint="eastAsia" w:ascii="方正黑体_GBK" w:eastAsia="方正黑体_GBK"/>
          <w:sz w:val="32"/>
          <w:szCs w:val="32"/>
        </w:rPr>
      </w:pPr>
      <w:r>
        <w:rPr>
          <w:rFonts w:hint="eastAsia" w:ascii="方正黑体_GBK" w:eastAsia="方正黑体_GBK"/>
          <w:sz w:val="32"/>
          <w:szCs w:val="32"/>
        </w:rPr>
        <w:t>一、建设水平</w:t>
      </w:r>
    </w:p>
    <w:p>
      <w:pPr>
        <w:overflowPunct w:val="0"/>
        <w:adjustRightInd w:val="0"/>
        <w:snapToGrid w:val="0"/>
        <w:spacing w:line="580" w:lineRule="atLeast"/>
        <w:ind w:firstLine="640" w:firstLineChars="200"/>
        <w:rPr>
          <w:rFonts w:hint="eastAsia" w:ascii="方正楷体_GBK" w:eastAsia="方正楷体_GBK"/>
          <w:sz w:val="32"/>
          <w:szCs w:val="32"/>
        </w:rPr>
      </w:pPr>
      <w:r>
        <w:rPr>
          <w:rFonts w:hint="eastAsia" w:ascii="方正楷体_GBK" w:eastAsia="方正楷体_GBK"/>
          <w:sz w:val="32"/>
          <w:szCs w:val="32"/>
        </w:rPr>
        <w:t>（一）中心建设</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Times New Roman" w:hAnsi="Times New Roman" w:eastAsia="方正仿宋_GBK"/>
          <w:sz w:val="32"/>
          <w:szCs w:val="32"/>
        </w:rPr>
        <w:t>1</w:t>
      </w:r>
      <w:r>
        <w:rPr>
          <w:rFonts w:hint="eastAsia" w:ascii="方正仿宋_GBK" w:eastAsia="方正仿宋_GBK"/>
          <w:sz w:val="32"/>
          <w:szCs w:val="32"/>
        </w:rPr>
        <w:t>．基本条件配套及提升</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中心专职管理人员：考核期内中心正式在编行政管理人员数及管理制度。须附人员名单。</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中心专用办公场地：考核期内中心实际使用的办公场地面积，需附证明材料。办公设备：考核期内中心办公设备数量及原值，需附设备清单。</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依托单位经费支持情况：考核期内依托单位从日常运行、固定资产投入、研究开发与临床转化、技术推广与公共服务等方面对中心的经费支持总数及经费较上年度增加情况。须附专项经费凭证复印件。</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Times New Roman" w:hAnsi="Times New Roman" w:eastAsia="方正仿宋_GBK"/>
          <w:sz w:val="32"/>
          <w:szCs w:val="32"/>
        </w:rPr>
        <w:t>2</w:t>
      </w:r>
      <w:r>
        <w:rPr>
          <w:rFonts w:hint="eastAsia" w:ascii="方正仿宋_GBK" w:eastAsia="方正仿宋_GBK"/>
          <w:sz w:val="32"/>
          <w:szCs w:val="32"/>
        </w:rPr>
        <w:t>．团队建设</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中心人才培养情况：考核期内中心正式在编的科研人员和科研辅助人员总数及较上年度增加情况；须附人员名单。考核期内中心科研团队参加业务培训、进修学习、访问交流等继续教育的总人次；须附继续教育清单。考核期内中心职称晋升情况；须附职称晋升清单。</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高端人才引进情况：考核中心高端人才引进情况及引进后的科研成果产出；须附人员名单及科研成果材料。</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Times New Roman" w:hAnsi="Times New Roman" w:eastAsia="方正仿宋_GBK"/>
          <w:sz w:val="32"/>
          <w:szCs w:val="32"/>
        </w:rPr>
        <w:t>3</w:t>
      </w:r>
      <w:r>
        <w:rPr>
          <w:rFonts w:hint="eastAsia" w:ascii="方正仿宋_GBK" w:eastAsia="方正仿宋_GBK"/>
          <w:sz w:val="32"/>
          <w:szCs w:val="32"/>
        </w:rPr>
        <w:t>．平台构建</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生物样本库建设情况：考核期内中心经标准化收集、处理和集中保藏于生物样本库的样本总量及较上年度增加情况。须附相关证明材料。</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共享平台建设及使用情况：考核期内中心围绕中心研究方向建设的基础实验室、检验实验室等研究平台，以及研究平台取得</w:t>
      </w:r>
      <w:r>
        <w:rPr>
          <w:rFonts w:hint="eastAsia" w:ascii="Times New Roman" w:hAnsi="Times New Roman" w:eastAsia="方正仿宋_GBK"/>
          <w:sz w:val="32"/>
          <w:szCs w:val="32"/>
        </w:rPr>
        <w:t>CNAS</w:t>
      </w:r>
      <w:r>
        <w:rPr>
          <w:rFonts w:hint="eastAsia" w:ascii="方正仿宋_GBK" w:eastAsia="方正仿宋_GBK"/>
          <w:sz w:val="32"/>
          <w:szCs w:val="32"/>
        </w:rPr>
        <w:t>（中国合格评定国家认可委员会）、</w:t>
      </w:r>
      <w:r>
        <w:rPr>
          <w:rFonts w:hint="eastAsia" w:ascii="Times New Roman" w:hAnsi="Times New Roman" w:eastAsia="方正仿宋_GBK"/>
          <w:sz w:val="32"/>
          <w:szCs w:val="32"/>
        </w:rPr>
        <w:t>CAP</w:t>
      </w:r>
      <w:r>
        <w:rPr>
          <w:rFonts w:hint="eastAsia" w:ascii="方正仿宋_GBK" w:eastAsia="方正仿宋_GBK"/>
          <w:sz w:val="32"/>
          <w:szCs w:val="32"/>
        </w:rPr>
        <w:t>（美国病理学家学会）、</w:t>
      </w:r>
      <w:r>
        <w:rPr>
          <w:rFonts w:hint="eastAsia" w:ascii="Times New Roman" w:hAnsi="Times New Roman" w:eastAsia="方正仿宋_GBK"/>
          <w:sz w:val="32"/>
          <w:szCs w:val="32"/>
        </w:rPr>
        <w:t>GCP</w:t>
      </w:r>
      <w:r>
        <w:rPr>
          <w:rFonts w:hint="eastAsia" w:ascii="方正仿宋_GBK" w:eastAsia="方正仿宋_GBK"/>
          <w:sz w:val="32"/>
          <w:szCs w:val="32"/>
        </w:rPr>
        <w:t>（药物临床试验质量管理规范）认证，或获得省级以上相关行业部门资质认定等情况。各共享平台建设后的使用情况。须附相关证明材料。</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成员单位平台建设提升情况：考核期内中心牵头建设单位和各参与单位围绕平台建设开展相关工作情况如数据库、信息服务平台、信息管理系统等。须附相关证明材料。</w:t>
      </w:r>
    </w:p>
    <w:p>
      <w:pPr>
        <w:overflowPunct w:val="0"/>
        <w:adjustRightInd w:val="0"/>
        <w:snapToGrid w:val="0"/>
        <w:spacing w:line="580" w:lineRule="atLeast"/>
        <w:ind w:firstLine="640" w:firstLineChars="200"/>
        <w:rPr>
          <w:rFonts w:hint="eastAsia" w:ascii="方正楷体_GBK" w:eastAsia="方正楷体_GBK"/>
          <w:sz w:val="32"/>
          <w:szCs w:val="32"/>
        </w:rPr>
      </w:pPr>
      <w:r>
        <w:rPr>
          <w:rFonts w:hint="eastAsia" w:ascii="方正楷体_GBK" w:eastAsia="方正楷体_GBK"/>
          <w:sz w:val="32"/>
          <w:szCs w:val="32"/>
        </w:rPr>
        <w:t>（二）中心管理</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Times New Roman" w:hAnsi="Times New Roman" w:eastAsia="方正仿宋_GBK"/>
          <w:sz w:val="32"/>
          <w:szCs w:val="32"/>
        </w:rPr>
        <w:t>1</w:t>
      </w:r>
      <w:r>
        <w:rPr>
          <w:rFonts w:hint="eastAsia" w:ascii="方正仿宋_GBK" w:eastAsia="方正仿宋_GBK"/>
          <w:sz w:val="32"/>
          <w:szCs w:val="32"/>
        </w:rPr>
        <w:t>．运行管理</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中心及其网络建设情况：考核期内中心协同网络中的研究型三级甲等医疗机构数量及较上一考核期增加情况。须附成员名单。考核期内中心协同网络中县、乡镇等基层医疗机构成员单位的数量及较上年度增加情况。须附成员名单。</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制度建设情况：考核期内中心制定的包括管理和运行制度，生物样本库和实验室管理办法，临床研究项目及医学伦理审查制度，保密、环保、生产安全、生物安全等规章制度，及规章制度执行情况。须附规章制度清单。</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Times New Roman" w:hAnsi="Times New Roman" w:eastAsia="方正仿宋_GBK"/>
          <w:sz w:val="32"/>
          <w:szCs w:val="32"/>
        </w:rPr>
        <w:t>2</w:t>
      </w:r>
      <w:r>
        <w:rPr>
          <w:rFonts w:hint="eastAsia" w:ascii="方正仿宋_GBK" w:eastAsia="方正仿宋_GBK"/>
          <w:sz w:val="32"/>
          <w:szCs w:val="32"/>
        </w:rPr>
        <w:t>．激励管理</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研究任务分解落实情况：考核期内根据中心建设方案拟定的研究方向及任务进行年度任务分解及实施情况。需提供证明文件。</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合作与激励机制建设：考核期内中心各成员单位间合作与激励机制建设及相关制度建设情况。需附制度清单。</w:t>
      </w:r>
    </w:p>
    <w:p>
      <w:pPr>
        <w:overflowPunct w:val="0"/>
        <w:adjustRightInd w:val="0"/>
        <w:snapToGrid w:val="0"/>
        <w:spacing w:line="580" w:lineRule="atLeast"/>
        <w:ind w:firstLine="640" w:firstLineChars="200"/>
        <w:rPr>
          <w:rFonts w:hint="eastAsia" w:ascii="方正黑体_GBK" w:eastAsia="方正黑体_GBK"/>
          <w:sz w:val="32"/>
          <w:szCs w:val="32"/>
        </w:rPr>
      </w:pPr>
      <w:r>
        <w:rPr>
          <w:rFonts w:hint="eastAsia" w:ascii="方正黑体_GBK" w:eastAsia="方正黑体_GBK"/>
          <w:sz w:val="32"/>
          <w:szCs w:val="32"/>
        </w:rPr>
        <w:t>二、科研产出</w:t>
      </w:r>
    </w:p>
    <w:p>
      <w:pPr>
        <w:overflowPunct w:val="0"/>
        <w:adjustRightInd w:val="0"/>
        <w:snapToGrid w:val="0"/>
        <w:spacing w:line="580" w:lineRule="atLeast"/>
        <w:ind w:firstLine="640" w:firstLineChars="200"/>
        <w:rPr>
          <w:rFonts w:hint="eastAsia" w:ascii="方正楷体_GBK" w:eastAsia="方正楷体_GBK"/>
          <w:sz w:val="32"/>
          <w:szCs w:val="32"/>
        </w:rPr>
      </w:pPr>
      <w:r>
        <w:rPr>
          <w:rFonts w:hint="eastAsia" w:ascii="方正楷体_GBK" w:eastAsia="方正楷体_GBK"/>
          <w:sz w:val="32"/>
          <w:szCs w:val="32"/>
        </w:rPr>
        <w:t>（一）研究水平</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Times New Roman" w:hAnsi="Times New Roman" w:eastAsia="方正仿宋_GBK"/>
          <w:sz w:val="32"/>
          <w:szCs w:val="32"/>
        </w:rPr>
        <w:t>1</w:t>
      </w:r>
      <w:r>
        <w:rPr>
          <w:rFonts w:hint="eastAsia" w:ascii="方正仿宋_GBK" w:eastAsia="方正仿宋_GBK"/>
          <w:sz w:val="32"/>
          <w:szCs w:val="32"/>
        </w:rPr>
        <w:t>．协同研究</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承担重大临床研究情况：考核期内，中心科研人员新主持或新参与的国家级、省部级、厅市级、局级科技项目（课题）数量和经费总量。须附项目清单及相关证明材料。考核年度内中心新增加的由科研人员自行发起的，在国家医学研究登记备案信息系统登记备案，以及在中国临床试验注册中心注册备案的临床研究项目数量和经费总量。须附项目清单及相关证明材料。</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带动成员单位科研提升情况：考核期内，各成员单位参与中心争取到的国家级、省部级、厅市级、局级科技项目（课题）数量和经费总量，以及中心立项科研项目（课题）数量和经费总量。须附项目清单及相关证明材料。</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协同攻关情况：考核期内，各成员单位</w:t>
      </w:r>
      <w:r>
        <w:rPr>
          <w:rFonts w:hint="eastAsia" w:ascii="Times New Roman" w:hAnsi="Times New Roman" w:eastAsia="方正仿宋_GBK"/>
          <w:sz w:val="32"/>
          <w:szCs w:val="32"/>
        </w:rPr>
        <w:t>2</w:t>
      </w:r>
      <w:r>
        <w:rPr>
          <w:rFonts w:hint="eastAsia" w:ascii="方正仿宋_GBK" w:eastAsia="方正仿宋_GBK"/>
          <w:sz w:val="32"/>
          <w:szCs w:val="32"/>
        </w:rPr>
        <w:t>个以上单位共同开展的国家级、省部级、厅市级、局级科技项目（课题）数量和经费总量，须附项目清单及相关证明材料。</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Times New Roman" w:hAnsi="Times New Roman" w:eastAsia="方正仿宋_GBK"/>
          <w:sz w:val="32"/>
          <w:szCs w:val="32"/>
        </w:rPr>
        <w:t>2</w:t>
      </w:r>
      <w:r>
        <w:rPr>
          <w:rFonts w:hint="eastAsia" w:ascii="方正仿宋_GBK" w:eastAsia="方正仿宋_GBK"/>
          <w:sz w:val="32"/>
          <w:szCs w:val="32"/>
        </w:rPr>
        <w:t>．研究对列：考核期内中心科研人员新主持或新参与的大型临床研究队列情况，包括数量、规模、规范性、产出质量等。附项目清单及相关证明材料。</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Times New Roman" w:hAnsi="Times New Roman" w:eastAsia="方正仿宋_GBK"/>
          <w:sz w:val="32"/>
          <w:szCs w:val="32"/>
        </w:rPr>
        <w:t>3</w:t>
      </w:r>
      <w:r>
        <w:rPr>
          <w:rFonts w:hint="eastAsia" w:ascii="方正仿宋_GBK" w:eastAsia="方正仿宋_GBK"/>
          <w:sz w:val="32"/>
          <w:szCs w:val="32"/>
        </w:rPr>
        <w:t>．临床试验和评价研究：考核期内中心科研人员新开展的药品临床评价、医疗器械临床试验及评价研究项目情况。须附项目清单及相关证明材料。</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Times New Roman" w:hAnsi="Times New Roman" w:eastAsia="方正仿宋_GBK"/>
          <w:sz w:val="32"/>
          <w:szCs w:val="32"/>
        </w:rPr>
        <w:t>4</w:t>
      </w:r>
      <w:r>
        <w:rPr>
          <w:rFonts w:hint="eastAsia" w:ascii="方正仿宋_GBK" w:eastAsia="方正仿宋_GBK"/>
          <w:sz w:val="32"/>
          <w:szCs w:val="32"/>
        </w:rPr>
        <w:t>．学术影响</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国际和国家级、省级奖励情况：考核期内中心科研人员以第一完成人或参与人员获得国家科学技术奖（国家最高科学技术奖、国家自然科学奖、国家技术发明奖、国家科学技术进步奖和国际科学技术合作奖）和云南省科学技术奖（省科学技术杰出贡献奖、省杰出青年科学技术创新奖、省自然科学奖、省技术发明奖、省科学技术进步奖、省国际科学技术合作奖）的情况。须附获奖证书复印件。</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重要临床研究论文、专著等情况：考核年度内中心科研人员以第一作者或通讯作者发表的高水平论文的数量，包括被《自然》《科学》等国际权威期刊（</w:t>
      </w:r>
      <w:r>
        <w:rPr>
          <w:rFonts w:hint="eastAsia" w:ascii="Times New Roman" w:hAnsi="Times New Roman" w:eastAsia="方正仿宋_GBK"/>
          <w:sz w:val="32"/>
          <w:szCs w:val="32"/>
        </w:rPr>
        <w:t>top10</w:t>
      </w:r>
      <w:r>
        <w:rPr>
          <w:rFonts w:hint="eastAsia" w:ascii="方正仿宋_GBK" w:eastAsia="方正仿宋_GBK"/>
          <w:sz w:val="32"/>
          <w:szCs w:val="32"/>
        </w:rPr>
        <w:t>），</w:t>
      </w:r>
      <w:r>
        <w:rPr>
          <w:rFonts w:hint="eastAsia" w:ascii="Times New Roman" w:hAnsi="Times New Roman" w:eastAsia="方正仿宋_GBK"/>
          <w:sz w:val="32"/>
          <w:szCs w:val="32"/>
        </w:rPr>
        <w:t>SCI</w:t>
      </w:r>
      <w:r>
        <w:rPr>
          <w:rFonts w:hint="eastAsia" w:ascii="方正仿宋_GBK" w:eastAsia="方正仿宋_GBK"/>
          <w:sz w:val="32"/>
          <w:szCs w:val="32"/>
        </w:rPr>
        <w:t>/</w:t>
      </w:r>
      <w:r>
        <w:rPr>
          <w:rFonts w:hint="eastAsia" w:ascii="Times New Roman" w:hAnsi="Times New Roman" w:eastAsia="方正仿宋_GBK"/>
          <w:sz w:val="32"/>
          <w:szCs w:val="32"/>
        </w:rPr>
        <w:t>SSCI</w:t>
      </w:r>
      <w:r>
        <w:rPr>
          <w:rFonts w:hint="eastAsia" w:ascii="方正仿宋_GBK" w:eastAsia="方正仿宋_GBK"/>
          <w:sz w:val="32"/>
          <w:szCs w:val="32"/>
        </w:rPr>
        <w:t>/</w:t>
      </w:r>
      <w:r>
        <w:rPr>
          <w:rFonts w:hint="eastAsia" w:ascii="Times New Roman" w:hAnsi="Times New Roman" w:eastAsia="方正仿宋_GBK"/>
          <w:sz w:val="32"/>
          <w:szCs w:val="32"/>
        </w:rPr>
        <w:t>EI</w:t>
      </w:r>
      <w:r>
        <w:rPr>
          <w:rFonts w:hint="eastAsia" w:ascii="方正仿宋_GBK" w:eastAsia="方正仿宋_GBK"/>
          <w:sz w:val="32"/>
          <w:szCs w:val="32"/>
        </w:rPr>
        <w:t>/收录的学术论文，论文按</w:t>
      </w:r>
      <w:r>
        <w:rPr>
          <w:rFonts w:hint="eastAsia" w:ascii="Times New Roman" w:hAnsi="Times New Roman" w:eastAsia="方正仿宋_GBK"/>
          <w:sz w:val="32"/>
          <w:szCs w:val="32"/>
        </w:rPr>
        <w:t>JCR</w:t>
      </w:r>
      <w:r>
        <w:rPr>
          <w:rFonts w:hint="eastAsia" w:ascii="方正仿宋_GBK" w:eastAsia="方正仿宋_GBK"/>
          <w:sz w:val="32"/>
          <w:szCs w:val="32"/>
        </w:rPr>
        <w:t>分区或中科院分区评价，中国科技期刊卓越行动计划入选期刊、北京大学《核心期刊要目总览》。须附论文首页复印件。考核期内中心科研人员在各级出版社正式出版的有国际标准书号的著作（包括专著、编著、译著和教材等）情况。须附专著首页及版权页复印件。</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主办国家或国际学术会议情况：考核期内中心科研人员在国家和国际学术机构任职、国际期刊任职（主编或副主编）、主办学术会议等情况。须附相关证明材料。</w:t>
      </w:r>
    </w:p>
    <w:p>
      <w:pPr>
        <w:overflowPunct w:val="0"/>
        <w:adjustRightInd w:val="0"/>
        <w:snapToGrid w:val="0"/>
        <w:spacing w:line="580" w:lineRule="atLeast"/>
        <w:ind w:firstLine="640" w:firstLineChars="200"/>
        <w:rPr>
          <w:rFonts w:hint="eastAsia" w:ascii="方正楷体_GBK" w:eastAsia="方正楷体_GBK"/>
          <w:sz w:val="32"/>
          <w:szCs w:val="32"/>
        </w:rPr>
      </w:pPr>
      <w:r>
        <w:rPr>
          <w:rFonts w:hint="eastAsia" w:ascii="方正楷体_GBK" w:eastAsia="方正楷体_GBK"/>
          <w:sz w:val="32"/>
          <w:szCs w:val="32"/>
        </w:rPr>
        <w:t>（二）临床转化</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Times New Roman" w:hAnsi="Times New Roman" w:eastAsia="方正仿宋_GBK"/>
          <w:sz w:val="32"/>
          <w:szCs w:val="32"/>
        </w:rPr>
        <w:t>1</w:t>
      </w:r>
      <w:r>
        <w:rPr>
          <w:rFonts w:hint="eastAsia" w:ascii="方正仿宋_GBK" w:eastAsia="方正仿宋_GBK"/>
          <w:sz w:val="32"/>
          <w:szCs w:val="32"/>
        </w:rPr>
        <w:t>．诊疗水平提升</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提高全省本领域疾病治愈率、降低发病率和预防情况：考核期内，中心通过开展本领域疾病治疗相关项目研究实现本领域疾病治愈、降低发病率和预防情况。需提供相关证明材料。</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带动全省基层医疗机构疾病防治水平提高情况：考核期内，中心通过项目研究、培训、组织论坛等方式对基层医疗机构疾病防治水平提高所做的贡献情况。需提供开展专项培训、论坛等相关才来。</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 xml:space="preserve">诊疗指南和技术规范产出：考核期内中心科研人员牵头或参与制定的国际、国家临床诊疗指南数量；考核期内中心科研人员牵头或参与制定的国际、国家、行业、地方、团体标准或技术规范数量，须有标准号或编号。须附诊疗指南和标准规范。 </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Times New Roman" w:hAnsi="Times New Roman" w:eastAsia="方正仿宋_GBK"/>
          <w:sz w:val="32"/>
          <w:szCs w:val="32"/>
        </w:rPr>
        <w:t>2</w:t>
      </w:r>
      <w:r>
        <w:rPr>
          <w:rFonts w:hint="eastAsia" w:ascii="方正仿宋_GBK" w:eastAsia="方正仿宋_GBK"/>
          <w:sz w:val="32"/>
          <w:szCs w:val="32"/>
        </w:rPr>
        <w:t>．健康产业促进</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支撑健康产业发展情况：新药证书，考核年度内中心科研人员经过国家药品监督管理局批准的新药证书。须附新药证书复印件。院内制剂，考核期内中心科研人员获得院内制剂批准号。须附院内制剂批准复印件。医疗器械证书，考核期内中心科研人员经过国家、省、市批准的医疗器械证书。须附医疗器械证书复印件。计算机软件著作权，考核期内中心科研人员经国家版权局登记的计算机软件著作权数量。须附软件著作权登记证书复印件。专利，考核期内中心科研人员经过国家知识产权局批准授权的发明专利和实用新型专利数量。须附专利证书复印件。</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成果转化的经济效益：考核期内，新药证书或取得新的院内制剂批文、医疗器械证书、软件著作权和专利等创新成果转化获得的经济效益情况。需附成果转化的经济效益情况证明。</w:t>
      </w:r>
    </w:p>
    <w:p>
      <w:pPr>
        <w:overflowPunct w:val="0"/>
        <w:adjustRightInd w:val="0"/>
        <w:snapToGrid w:val="0"/>
        <w:spacing w:line="580" w:lineRule="atLeast"/>
        <w:ind w:firstLine="640" w:firstLineChars="200"/>
        <w:rPr>
          <w:rFonts w:hint="eastAsia" w:ascii="方正黑体_GBK" w:eastAsia="方正黑体_GBK"/>
          <w:sz w:val="32"/>
          <w:szCs w:val="32"/>
        </w:rPr>
      </w:pPr>
      <w:r>
        <w:rPr>
          <w:rFonts w:hint="eastAsia" w:ascii="方正黑体_GBK" w:eastAsia="方正黑体_GBK"/>
          <w:sz w:val="32"/>
          <w:szCs w:val="32"/>
        </w:rPr>
        <w:t>三、公共服务</w:t>
      </w:r>
    </w:p>
    <w:p>
      <w:pPr>
        <w:overflowPunct w:val="0"/>
        <w:adjustRightInd w:val="0"/>
        <w:snapToGrid w:val="0"/>
        <w:spacing w:line="580" w:lineRule="atLeast"/>
        <w:ind w:firstLine="640" w:firstLineChars="200"/>
        <w:rPr>
          <w:rFonts w:hint="eastAsia" w:ascii="方正楷体_GBK" w:eastAsia="方正楷体_GBK"/>
          <w:sz w:val="32"/>
          <w:szCs w:val="32"/>
        </w:rPr>
      </w:pPr>
      <w:r>
        <w:rPr>
          <w:rFonts w:hint="eastAsia" w:ascii="方正楷体_GBK" w:eastAsia="方正楷体_GBK"/>
          <w:sz w:val="32"/>
          <w:szCs w:val="32"/>
        </w:rPr>
        <w:t>（一）技术推广</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Times New Roman" w:hAnsi="Times New Roman" w:eastAsia="方正仿宋_GBK"/>
          <w:sz w:val="32"/>
          <w:szCs w:val="32"/>
        </w:rPr>
        <w:t>1</w:t>
      </w:r>
      <w:r>
        <w:rPr>
          <w:rFonts w:hint="eastAsia" w:ascii="方正仿宋_GBK" w:eastAsia="方正仿宋_GBK"/>
          <w:sz w:val="32"/>
          <w:szCs w:val="32"/>
        </w:rPr>
        <w:t>．适宜技术推广</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基层适宜技术推广的数量及规模：考核期内中心面向县域、乡镇（社区）诊疗需求，推广适宜技术的项数、次数以及覆盖单位、覆盖县域的情况。须附推广技术清单。</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推广的效果评估体系建立与推广效果：考核期内中心建立的适宜技术推广的效果评估体系情况，依托评估体系开展效果评估的情况。需附评估体系材料及评估材料。</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Times New Roman" w:hAnsi="Times New Roman" w:eastAsia="方正仿宋_GBK"/>
          <w:sz w:val="32"/>
          <w:szCs w:val="32"/>
        </w:rPr>
        <w:t>2</w:t>
      </w:r>
      <w:r>
        <w:rPr>
          <w:rFonts w:hint="eastAsia" w:ascii="方正仿宋_GBK" w:eastAsia="方正仿宋_GBK"/>
          <w:sz w:val="32"/>
          <w:szCs w:val="32"/>
        </w:rPr>
        <w:t>．人员培训</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培训专科医务人员、临床研究科研人员的场次及人数：考核期内中心通过线上、线下等方式培训网络成员及县域、乡镇（社区）基层专科医务人员、临床研究科研人员的次数和受训人次。须附培训活动清单。</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培训效果评估情况：考核期内中心开展培训效果评估体系建设情况及实际评估情况。需附评估体系材料及评估材料。</w:t>
      </w:r>
    </w:p>
    <w:p>
      <w:pPr>
        <w:overflowPunct w:val="0"/>
        <w:adjustRightInd w:val="0"/>
        <w:snapToGrid w:val="0"/>
        <w:spacing w:line="580" w:lineRule="atLeast"/>
        <w:ind w:firstLine="640" w:firstLineChars="200"/>
        <w:rPr>
          <w:rFonts w:hint="eastAsia" w:ascii="方正楷体_GBK" w:eastAsia="方正楷体_GBK"/>
          <w:sz w:val="32"/>
          <w:szCs w:val="32"/>
        </w:rPr>
      </w:pPr>
      <w:r>
        <w:rPr>
          <w:rFonts w:hint="eastAsia" w:ascii="方正楷体_GBK" w:eastAsia="方正楷体_GBK"/>
          <w:sz w:val="32"/>
          <w:szCs w:val="32"/>
        </w:rPr>
        <w:t>（二）网络服务</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Times New Roman" w:hAnsi="Times New Roman" w:eastAsia="方正仿宋_GBK"/>
          <w:sz w:val="32"/>
          <w:szCs w:val="32"/>
        </w:rPr>
        <w:t>1</w:t>
      </w:r>
      <w:r>
        <w:rPr>
          <w:rFonts w:hint="eastAsia" w:ascii="方正仿宋_GBK" w:eastAsia="方正仿宋_GBK"/>
          <w:sz w:val="32"/>
          <w:szCs w:val="32"/>
        </w:rPr>
        <w:t>．远程医疗</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远程医疗服务情况：考核期内中心通过远程诊疗系统指导服务的次数和覆盖网络成员、基层医疗机构的数量。须附远程医疗服务清单。</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Times New Roman" w:hAnsi="Times New Roman" w:eastAsia="方正仿宋_GBK"/>
          <w:sz w:val="32"/>
          <w:szCs w:val="32"/>
        </w:rPr>
        <w:t>2</w:t>
      </w:r>
      <w:r>
        <w:rPr>
          <w:rFonts w:hint="eastAsia" w:ascii="方正仿宋_GBK" w:eastAsia="方正仿宋_GBK"/>
          <w:sz w:val="32"/>
          <w:szCs w:val="32"/>
        </w:rPr>
        <w:t>．科学普及信息宣传：面向社会公众普及医疗健康知识的情况。考核期内中心通过科普书籍、报刊、</w:t>
      </w:r>
      <w:r>
        <w:rPr>
          <w:rFonts w:hint="eastAsia" w:ascii="Times New Roman" w:hAnsi="Times New Roman" w:eastAsia="方正仿宋_GBK"/>
          <w:sz w:val="32"/>
          <w:szCs w:val="32"/>
        </w:rPr>
        <w:t>APP</w:t>
      </w:r>
      <w:r>
        <w:rPr>
          <w:rFonts w:hint="eastAsia" w:ascii="方正仿宋_GBK" w:eastAsia="方正仿宋_GBK"/>
          <w:sz w:val="32"/>
          <w:szCs w:val="32"/>
        </w:rPr>
        <w:t>、网站、科普讲座、科普活动等方式向公众普及医疗健康知识的情况。须附相关证明材料。</w:t>
      </w:r>
    </w:p>
    <w:p>
      <w:pPr>
        <w:overflowPunct w:val="0"/>
        <w:adjustRightInd w:val="0"/>
        <w:snapToGrid w:val="0"/>
        <w:spacing w:line="580" w:lineRule="atLeast"/>
        <w:ind w:firstLine="640" w:firstLineChars="200"/>
        <w:rPr>
          <w:rFonts w:hint="eastAsia" w:ascii="方正黑体_GBK" w:eastAsia="方正黑体_GBK"/>
          <w:sz w:val="32"/>
          <w:szCs w:val="32"/>
        </w:rPr>
      </w:pPr>
      <w:r>
        <w:rPr>
          <w:rFonts w:hint="eastAsia" w:ascii="方正黑体_GBK" w:eastAsia="方正黑体_GBK"/>
          <w:sz w:val="32"/>
          <w:szCs w:val="32"/>
        </w:rPr>
        <w:t>四、加分指标</w:t>
      </w:r>
    </w:p>
    <w:p>
      <w:pPr>
        <w:overflowPunct w:val="0"/>
        <w:adjustRightInd w:val="0"/>
        <w:snapToGrid w:val="0"/>
        <w:spacing w:line="580" w:lineRule="atLeast"/>
        <w:ind w:firstLine="640" w:firstLineChars="200"/>
        <w:rPr>
          <w:rFonts w:hint="eastAsia" w:ascii="方正楷体_GBK" w:eastAsia="方正楷体_GBK"/>
          <w:sz w:val="32"/>
          <w:szCs w:val="32"/>
        </w:rPr>
      </w:pPr>
      <w:r>
        <w:rPr>
          <w:rFonts w:hint="eastAsia" w:ascii="方正楷体_GBK" w:eastAsia="方正楷体_GBK"/>
          <w:sz w:val="32"/>
          <w:szCs w:val="32"/>
        </w:rPr>
        <w:t>（一）社会影响</w:t>
      </w:r>
    </w:p>
    <w:p>
      <w:pPr>
        <w:overflowPunct w:val="0"/>
        <w:adjustRightInd w:val="0"/>
        <w:snapToGrid w:val="0"/>
        <w:spacing w:line="580" w:lineRule="atLeast"/>
        <w:ind w:firstLine="640" w:firstLineChars="200"/>
        <w:rPr>
          <w:rFonts w:hint="eastAsia" w:ascii="方正仿宋_GBK" w:eastAsia="方正仿宋_GBK"/>
          <w:sz w:val="32"/>
          <w:szCs w:val="32"/>
        </w:rPr>
      </w:pPr>
      <w:r>
        <w:rPr>
          <w:rFonts w:hint="eastAsia" w:ascii="方正仿宋_GBK" w:eastAsia="方正仿宋_GBK"/>
          <w:sz w:val="32"/>
          <w:szCs w:val="32"/>
        </w:rPr>
        <w:t>评估周期内临床中心的临床研究领域或临床专科在复旦大学“中国医院及专科声誉排行榜”、“中国科技量值排行榜（</w:t>
      </w:r>
      <w:r>
        <w:rPr>
          <w:rFonts w:hint="eastAsia" w:ascii="Times New Roman" w:hAnsi="Times New Roman" w:eastAsia="方正仿宋_GBK"/>
          <w:sz w:val="32"/>
          <w:szCs w:val="32"/>
        </w:rPr>
        <w:t>STEM</w:t>
      </w:r>
      <w:r>
        <w:rPr>
          <w:rFonts w:hint="eastAsia" w:ascii="方正仿宋_GBK" w:eastAsia="方正仿宋_GBK"/>
          <w:sz w:val="32"/>
          <w:szCs w:val="32"/>
        </w:rPr>
        <w:t>）”、“中国研究型医院/学科/人才榜”等权威行业和社会机构开展的评价评比中的整体情况和排名上升情况。须附相关证明。</w:t>
      </w:r>
    </w:p>
    <w:p>
      <w:pPr>
        <w:overflowPunct w:val="0"/>
        <w:adjustRightInd w:val="0"/>
        <w:snapToGrid w:val="0"/>
        <w:spacing w:line="580" w:lineRule="atLeast"/>
        <w:ind w:firstLine="640" w:firstLineChars="200"/>
        <w:rPr>
          <w:rFonts w:hint="eastAsia" w:ascii="方正楷体_GBK" w:eastAsia="方正楷体_GBK"/>
          <w:sz w:val="32"/>
          <w:szCs w:val="32"/>
        </w:rPr>
      </w:pPr>
      <w:r>
        <w:rPr>
          <w:rFonts w:hint="eastAsia" w:ascii="方正楷体_GBK" w:eastAsia="方正楷体_GBK"/>
          <w:sz w:val="32"/>
          <w:szCs w:val="32"/>
        </w:rPr>
        <w:t>（二）工作评价</w:t>
      </w:r>
    </w:p>
    <w:p>
      <w:pPr>
        <w:rPr>
          <w:rFonts w:hint="eastAsia"/>
          <w:lang w:val="en-US" w:eastAsia="zh-CN"/>
        </w:rPr>
      </w:pPr>
      <w:r>
        <w:rPr>
          <w:rFonts w:hint="eastAsia" w:ascii="方正仿宋_GBK" w:eastAsia="方正仿宋_GBK"/>
          <w:sz w:val="32"/>
          <w:szCs w:val="32"/>
        </w:rPr>
        <w:t>评估周期内临床中心在服务基层、临床应用、疾病防治等方面取得实效，得到省部级、省级部门表彰表扬。须附相关证明。</w:t>
      </w:r>
    </w:p>
    <w:sectPr>
      <w:headerReference r:id="rId3" w:type="default"/>
      <w:footerReference r:id="rId4" w:type="default"/>
      <w:pgSz w:w="11906" w:h="16838"/>
      <w:pgMar w:top="1962" w:right="1474" w:bottom="1848"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书宋简体">
    <w:panose1 w:val="02010601030101010101"/>
    <w:charset w:val="86"/>
    <w:family w:val="script"/>
    <w:pitch w:val="default"/>
    <w:sig w:usb0="00000001" w:usb1="080E0000" w:usb2="00000000" w:usb3="00000000" w:csb0="00040000" w:csb1="00000000"/>
  </w:font>
  <w:font w:name="方正小标宋_GBK">
    <w:panose1 w:val="02000000000000000000"/>
    <w:charset w:val="86"/>
    <w:family w:val="script"/>
    <w:pitch w:val="default"/>
    <w:sig w:usb0="00000001" w:usb1="080E0000" w:usb2="00000000" w:usb3="00000000" w:csb0="00040000" w:csb1="00000000"/>
    <w:embedRegular r:id="rId1" w:fontKey="{6621C11C-EA99-4D61-96F5-BFAC2F74D177}"/>
  </w:font>
  <w:font w:name="方正仿宋_GBK">
    <w:panose1 w:val="03000509000000000000"/>
    <w:charset w:val="86"/>
    <w:family w:val="auto"/>
    <w:pitch w:val="default"/>
    <w:sig w:usb0="00000001" w:usb1="080E0000" w:usb2="00000000" w:usb3="00000000" w:csb0="00040000" w:csb1="00000000"/>
    <w:embedRegular r:id="rId2" w:fontKey="{887D0365-6680-413D-AC82-DEE1B730C542}"/>
  </w:font>
  <w:font w:name="仿宋_GB2312">
    <w:panose1 w:val="02010609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embedRegular r:id="rId3" w:fontKey="{96B0964D-F49B-4A4D-B1B7-9E794C8DBA76}"/>
  </w:font>
  <w:font w:name="仿宋">
    <w:panose1 w:val="02010609060101010101"/>
    <w:charset w:val="86"/>
    <w:family w:val="auto"/>
    <w:pitch w:val="default"/>
    <w:sig w:usb0="800002BF" w:usb1="38CF7CFA" w:usb2="00000016" w:usb3="00000000" w:csb0="00040001" w:csb1="00000000"/>
    <w:embedRegular r:id="rId4" w:fontKey="{D5D46463-2394-4847-9AC2-6B607B89FED2}"/>
  </w:font>
  <w:font w:name="Cambria">
    <w:panose1 w:val="02040503050406030204"/>
    <w:charset w:val="00"/>
    <w:family w:val="roman"/>
    <w:pitch w:val="default"/>
    <w:sig w:usb0="E00006FF" w:usb1="420024FF" w:usb2="02000000" w:usb3="00000000" w:csb0="2000019F" w:csb1="00000000"/>
  </w:font>
  <w:font w:name="方正楷体_GBK">
    <w:panose1 w:val="03000509000000000000"/>
    <w:charset w:val="86"/>
    <w:family w:val="auto"/>
    <w:pitch w:val="default"/>
    <w:sig w:usb0="00000001" w:usb1="080E0000" w:usb2="00000000" w:usb3="00000000" w:csb0="00040000" w:csb1="00000000"/>
    <w:embedRegular r:id="rId5" w:fontKey="{5E598B3B-4774-45C1-B7A1-BEF204FFD219}"/>
  </w:font>
  <w:font w:name="长城小标宋体">
    <w:altName w:val="方正小标宋_GBK"/>
    <w:panose1 w:val="00000000000000000000"/>
    <w:charset w:val="00"/>
    <w:family w:val="moder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hint="eastAsia" w:eastAsia="仿宋"/>
        <w:sz w:val="32"/>
        <w:szCs w:val="48"/>
        <w:lang w:val="en-US" w:eastAsia="zh-CN"/>
      </w:rPr>
    </w:pPr>
    <w:r>
      <w:rPr>
        <w:rFonts w:hint="eastAsia" w:eastAsia="仿宋"/>
        <w:sz w:val="32"/>
        <w:szCs w:val="48"/>
        <w:lang w:val="en-US" w:eastAsia="zh-CN"/>
      </w:rPr>
      <w:t>　</w:t>
    </w:r>
  </w:p>
  <w:p>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sz w:val="32"/>
        <w:szCs w:val="48"/>
        <w:lang w:val="en-US" w:eastAsia="zh-CN"/>
      </w:rPr>
      <w:t>X</w:t>
    </w:r>
    <w:r>
      <w:rPr>
        <w:rFonts w:hint="eastAsia" w:ascii="宋体" w:hAnsi="宋体" w:cs="宋体"/>
        <w:b/>
        <w:bCs/>
        <w:color w:val="005192"/>
        <w:sz w:val="32"/>
        <w:lang w:eastAsia="zh-CN"/>
      </w:rPr>
      <w:t>云南省科学技术厅</w:t>
    </w:r>
    <w:r>
      <w:rPr>
        <w:rFonts w:hint="eastAsia" w:ascii="宋体" w:hAnsi="宋体" w:eastAsia="宋体" w:cs="宋体"/>
        <w:b/>
        <w:bCs/>
        <w:color w:val="005192"/>
        <w:sz w:val="28"/>
        <w:szCs w:val="44"/>
        <w:lang w:val="en-US" w:eastAsia="zh-CN"/>
      </w:rPr>
      <w:t>发布　　</w:t>
    </w:r>
    <w:r>
      <w:rPr>
        <w:rFonts w:hint="eastAsia" w:ascii="宋体" w:hAnsi="宋体" w:cs="宋体"/>
        <w:b/>
        <w:bCs/>
        <w:color w:val="005192"/>
        <w:sz w:val="28"/>
        <w:szCs w:val="44"/>
        <w:lang w:val="en-US" w:eastAsia="zh-CN"/>
      </w:rPr>
      <w:t>　</w:t>
    </w:r>
  </w:p>
  <w:p>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lang w:eastAsia="zh-CN"/>
      </w:rPr>
      <w:t>云南省科学技术厅</w:t>
    </w:r>
    <w:r>
      <w:rPr>
        <w:rFonts w:hint="eastAsia" w:ascii="宋体" w:hAnsi="宋体" w:cs="宋体"/>
        <w:b/>
        <w:bCs/>
        <w:color w:val="005192"/>
        <w:sz w:val="32"/>
        <w:szCs w:val="32"/>
        <w:lang w:val="en-US" w:eastAsia="zh-CN"/>
      </w:rPr>
      <w:t>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RhOWIxMTFkMWIyMWZkNDllMmQ0MTNhNDFmODFjMjQifQ=="/>
  </w:docVars>
  <w:rsids>
    <w:rsidRoot w:val="41271887"/>
    <w:rsid w:val="02277D98"/>
    <w:rsid w:val="03CB34A5"/>
    <w:rsid w:val="06BA219F"/>
    <w:rsid w:val="13B7301E"/>
    <w:rsid w:val="161377E5"/>
    <w:rsid w:val="1B0C47AB"/>
    <w:rsid w:val="1BE77E62"/>
    <w:rsid w:val="2122444F"/>
    <w:rsid w:val="2AB97025"/>
    <w:rsid w:val="2C1A5D88"/>
    <w:rsid w:val="2EC57D0F"/>
    <w:rsid w:val="32CD697B"/>
    <w:rsid w:val="32F33286"/>
    <w:rsid w:val="333746BC"/>
    <w:rsid w:val="3AE9474C"/>
    <w:rsid w:val="3CAE535E"/>
    <w:rsid w:val="3EC57B5F"/>
    <w:rsid w:val="3F334495"/>
    <w:rsid w:val="41271887"/>
    <w:rsid w:val="43CC5F7A"/>
    <w:rsid w:val="47F5693D"/>
    <w:rsid w:val="491D214E"/>
    <w:rsid w:val="50BD4270"/>
    <w:rsid w:val="52241ACF"/>
    <w:rsid w:val="58481905"/>
    <w:rsid w:val="69D33F82"/>
    <w:rsid w:val="6BF77D04"/>
    <w:rsid w:val="6C72551B"/>
    <w:rsid w:val="6C73653C"/>
    <w:rsid w:val="6EA83DAB"/>
    <w:rsid w:val="766B0CEA"/>
    <w:rsid w:val="78516CF2"/>
    <w:rsid w:val="7F0A6E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autoRedefine/>
    <w:qFormat/>
    <w:uiPriority w:val="0"/>
    <w:pPr>
      <w:spacing w:before="100" w:beforeLines="0" w:beforeAutospacing="1" w:after="100" w:afterLines="0" w:afterAutospacing="1"/>
      <w:jc w:val="left"/>
      <w:outlineLvl w:val="1"/>
    </w:pPr>
    <w:rPr>
      <w:rFonts w:hint="eastAsia" w:ascii="宋体" w:hAnsi="宋体" w:eastAsia="宋体" w:cs="宋体"/>
      <w:b/>
      <w:kern w:val="0"/>
      <w:sz w:val="36"/>
      <w:szCs w:val="36"/>
      <w:lang w:val="en-US" w:eastAsia="zh-CN"/>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3">
    <w:name w:val="Normal Indent"/>
    <w:basedOn w:val="1"/>
    <w:next w:val="1"/>
    <w:autoRedefine/>
    <w:qFormat/>
    <w:uiPriority w:val="0"/>
    <w:pPr>
      <w:ind w:firstLine="420" w:firstLineChars="200"/>
    </w:pPr>
    <w:rPr>
      <w:rFonts w:ascii="Times New Roman" w:hAnsi="Times New Roman" w:eastAsia="宋体"/>
      <w:sz w:val="24"/>
      <w:szCs w:val="20"/>
    </w:rPr>
  </w:style>
  <w:style w:type="paragraph" w:styleId="4">
    <w:name w:val="toa heading"/>
    <w:basedOn w:val="1"/>
    <w:next w:val="1"/>
    <w:autoRedefine/>
    <w:qFormat/>
    <w:uiPriority w:val="0"/>
    <w:pPr>
      <w:spacing w:before="120" w:beforeLines="0" w:beforeAutospacing="0"/>
    </w:pPr>
    <w:rPr>
      <w:rFonts w:ascii="Arial" w:hAnsi="Arial"/>
      <w:sz w:val="24"/>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10">
    <w:name w:val="一级标题（二号小标宋）"/>
    <w:basedOn w:val="1"/>
    <w:autoRedefine/>
    <w:qFormat/>
    <w:uiPriority w:val="0"/>
    <w:pPr>
      <w:widowControl/>
      <w:jc w:val="center"/>
    </w:pPr>
    <w:rPr>
      <w:rFonts w:ascii="方正书宋简体" w:hAnsi="方正书宋简体" w:eastAsia="方正小标宋_GBK"/>
      <w:color w:val="000000"/>
      <w:kern w:val="0"/>
      <w:sz w:val="42"/>
      <w:szCs w:val="42"/>
    </w:rPr>
  </w:style>
  <w:style w:type="paragraph" w:customStyle="1" w:styleId="11">
    <w:name w:val="p1"/>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12">
    <w:name w:val="s1"/>
    <w:basedOn w:val="9"/>
    <w:autoRedefine/>
    <w:qFormat/>
    <w:uiPriority w:val="0"/>
  </w:style>
  <w:style w:type="character" w:customStyle="1" w:styleId="13">
    <w:name w:val="s2"/>
    <w:basedOn w:val="9"/>
    <w:autoRedefine/>
    <w:qFormat/>
    <w:uiPriority w:val="0"/>
  </w:style>
  <w:style w:type="character" w:customStyle="1" w:styleId="14">
    <w:name w:val="font61"/>
    <w:basedOn w:val="9"/>
    <w:autoRedefine/>
    <w:qFormat/>
    <w:uiPriority w:val="0"/>
    <w:rPr>
      <w:rFonts w:hint="eastAsia" w:ascii="宋体" w:hAnsi="宋体" w:eastAsia="宋体" w:cs="宋体"/>
      <w:b/>
      <w:color w:val="000000"/>
      <w:sz w:val="44"/>
      <w:szCs w:val="44"/>
      <w:u w:val="none"/>
      <w:vertAlign w:val="superscript"/>
    </w:rPr>
  </w:style>
  <w:style w:type="character" w:customStyle="1" w:styleId="15">
    <w:name w:val="font11"/>
    <w:basedOn w:val="9"/>
    <w:autoRedefine/>
    <w:qFormat/>
    <w:uiPriority w:val="0"/>
    <w:rPr>
      <w:rFonts w:hint="eastAsia" w:ascii="宋体" w:hAnsi="宋体" w:eastAsia="宋体" w:cs="宋体"/>
      <w:color w:val="000000"/>
      <w:sz w:val="24"/>
      <w:szCs w:val="24"/>
      <w:u w:val="none"/>
    </w:rPr>
  </w:style>
  <w:style w:type="character" w:customStyle="1" w:styleId="16">
    <w:name w:val="font81"/>
    <w:basedOn w:val="9"/>
    <w:autoRedefine/>
    <w:qFormat/>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3829</Words>
  <Characters>3869</Characters>
  <Lines>0</Lines>
  <Paragraphs>0</Paragraphs>
  <TotalTime>0</TotalTime>
  <ScaleCrop>false</ScaleCrop>
  <LinksUpToDate>false</LinksUpToDate>
  <CharactersWithSpaces>3953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2021-12-21T02:15:00Z</dcterms:created>
  <dc:creator>Dasiy_颖</dc:creator>
  <cp:lastModifiedBy>纯爱战士</cp:lastModifiedBy>
  <dcterms:modified xsi:type="dcterms:W3CDTF">2024-03-22T09:00:37Z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8F7701EC84374A36844FF8FA3F37E56B_13</vt:lpwstr>
  </property>
</Properties>
</file>